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10"/>
        <w:tblW w:w="9895" w:type="dxa"/>
        <w:tblLook w:val="04A0" w:firstRow="1" w:lastRow="0" w:firstColumn="1" w:lastColumn="0" w:noHBand="0" w:noVBand="1"/>
      </w:tblPr>
      <w:tblGrid>
        <w:gridCol w:w="7120"/>
        <w:gridCol w:w="579"/>
        <w:gridCol w:w="1120"/>
        <w:gridCol w:w="1076"/>
      </w:tblGrid>
      <w:tr w:rsidR="008E69CE" w:rsidRPr="008E69CE" w14:paraId="14E823C5" w14:textId="77777777" w:rsidTr="00FF22A6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63B" w14:textId="77777777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The purchase scope includes the following items: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02D" w14:textId="77777777" w:rsidR="008E69CE" w:rsidRPr="008E69CE" w:rsidRDefault="008E69CE" w:rsidP="0031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QTY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7C5" w14:textId="01FBB8B2" w:rsidR="008E69CE" w:rsidRPr="008E69CE" w:rsidRDefault="008E69CE" w:rsidP="0031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E049" w14:textId="30E94481" w:rsidR="008E69CE" w:rsidRPr="008E69CE" w:rsidRDefault="008E69CE" w:rsidP="00313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69CE" w:rsidRPr="008E69CE" w14:paraId="7AC7BC68" w14:textId="77777777" w:rsidTr="00FF22A6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E87A" w14:textId="77777777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· Two Solar Titan T130 Gas Turbine Generators (skid mounted) Built in 2013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4BB" w14:textId="77777777" w:rsidR="008E69CE" w:rsidRPr="008E69CE" w:rsidRDefault="008E69CE" w:rsidP="00313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D8E" w14:textId="2F06C797" w:rsidR="008E69CE" w:rsidRPr="008E69CE" w:rsidRDefault="008E69CE" w:rsidP="00F03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DF55" w14:textId="3B7DB31A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E69CE" w:rsidRPr="008E69CE" w14:paraId="519964F8" w14:textId="77777777" w:rsidTr="00FF22A6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DDC9" w14:textId="77777777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· Two ABB generators AM130 1000LM (skid mounted) 11kV 22789 KVA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989" w14:textId="77777777" w:rsidR="008E69CE" w:rsidRPr="008E69CE" w:rsidRDefault="008E69CE" w:rsidP="00313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DBA" w14:textId="77777777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40E" w14:textId="77777777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69CE" w:rsidRPr="008E69CE" w14:paraId="429D77E6" w14:textId="77777777" w:rsidTr="00FF22A6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FEA" w14:textId="77777777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· Two Donaldson Air Intake systems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41C" w14:textId="77777777" w:rsidR="008E69CE" w:rsidRPr="008E69CE" w:rsidRDefault="008E69CE" w:rsidP="00313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789" w14:textId="77777777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EC27" w14:textId="77777777" w:rsidR="008E69CE" w:rsidRPr="008E69CE" w:rsidRDefault="008E69CE" w:rsidP="0031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9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315FDD3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0D3E264E" w14:textId="67492A7F" w:rsidR="008E69CE" w:rsidRDefault="0031364C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2x New Surplus Titan 130</w:t>
      </w:r>
    </w:p>
    <w:p w14:paraId="2E47D975" w14:textId="156E1661" w:rsidR="0031364C" w:rsidRDefault="0031364C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3B5D358B" w14:textId="77777777" w:rsidR="0031364C" w:rsidRDefault="0031364C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187FF98B" w14:textId="4DB754D4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Equipment Description</w:t>
      </w:r>
    </w:p>
    <w:p w14:paraId="39155BBD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0094F64F" w14:textId="11CC770C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1. Gas Turbine Generators</w:t>
      </w:r>
    </w:p>
    <w:p w14:paraId="0DDF311D" w14:textId="70C98329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 xml:space="preserve">Each of the </w:t>
      </w:r>
      <w:r w:rsidR="00F67B78">
        <w:rPr>
          <w:rFonts w:ascii="CIDFont+F1" w:hAnsi="CIDFont+F1" w:cs="CIDFont+F1"/>
          <w:color w:val="000000"/>
          <w:sz w:val="21"/>
          <w:szCs w:val="21"/>
        </w:rPr>
        <w:t>two</w:t>
      </w:r>
      <w:r>
        <w:rPr>
          <w:rFonts w:ascii="CIDFont+F1" w:hAnsi="CIDFont+F1" w:cs="CIDFont+F1"/>
          <w:color w:val="000000"/>
          <w:sz w:val="21"/>
          <w:szCs w:val="21"/>
        </w:rPr>
        <w:t xml:space="preserve"> Solar Titan 130 GTGs is designed to produce approximately 15.2MW of electricity based on Natural Gas.</w:t>
      </w:r>
    </w:p>
    <w:p w14:paraId="22083581" w14:textId="149D4280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GTG’s are controlled via the local Solar Supplied PLC. This includes all safety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related functionality. The Air Products Basic Process Control System (BPCS)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communicates with the Solar PLC feeding set points to and receiving alarms from the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Solar PLC.</w:t>
      </w:r>
    </w:p>
    <w:p w14:paraId="700CDB13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33255E9B" w14:textId="4098372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</w:t>
      </w:r>
      <w:r w:rsidR="00F67B78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GTGs were installed in c 2013, but not commissioned. They have been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preserved in accordance with manufacturers recommendations. Both GTG’s are in good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condition. Solar have carried out a recent (May 2018) Condition assessment report.</w:t>
      </w:r>
    </w:p>
    <w:p w14:paraId="32D9D590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</w:p>
    <w:p w14:paraId="3BAB2624" w14:textId="396088D0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2. Air Intake System</w:t>
      </w:r>
    </w:p>
    <w:p w14:paraId="0AAD6835" w14:textId="54C11796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Donaldson TTD™ Air Inlet system is designed to provide self-cleaning, anti-icing,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single stage, high efficiency filtration for prolonged periods (up to two years) in harsh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climates without turbine shutdown for filter cleaning or replacement.</w:t>
      </w:r>
    </w:p>
    <w:p w14:paraId="493C3A6C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7594520E" w14:textId="2CD8767E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It utilizes cylindrical filter elements, hung vertically from a horizontal tube sheet. These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filters are cleaned by pulsing a wave of air into them opposite the normal air flow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direction</w:t>
      </w:r>
    </w:p>
    <w:p w14:paraId="33827360" w14:textId="77777777" w:rsidR="0031364C" w:rsidRDefault="0031364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561CD14E" w14:textId="62059C46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3. Generators</w:t>
      </w:r>
    </w:p>
    <w:p w14:paraId="6A863E16" w14:textId="3ACD8A3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Each Gas turbine uses a Generator to produce it electrical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power.</w:t>
      </w:r>
    </w:p>
    <w:p w14:paraId="05CDE101" w14:textId="463D8D40" w:rsidR="0031364C" w:rsidRDefault="0031364C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4C517AD4" w14:textId="6CE1FB6B" w:rsidR="0031364C" w:rsidRDefault="0031364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7A3C3D30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74045923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65DC99E9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5B0965C5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12922683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0BDC314E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195C3C47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02813974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3285B975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4F289EB0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645CA6F8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517E5A8C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7764A09F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6A72E5F3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347720FF" w14:textId="04262E99" w:rsidR="0031364C" w:rsidRDefault="0031364C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  <w:r>
        <w:rPr>
          <w:rFonts w:ascii="CIDFont+F5" w:hAnsi="CIDFont+F5" w:cs="CIDFont+F5"/>
          <w:color w:val="000000"/>
          <w:sz w:val="21"/>
          <w:szCs w:val="21"/>
        </w:rPr>
        <w:t>Additional Components available – Not included in the price</w:t>
      </w:r>
    </w:p>
    <w:p w14:paraId="7FB5784E" w14:textId="4BF1979E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6FD54B15" w14:textId="0C6611CC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 xml:space="preserve">4. </w:t>
      </w:r>
      <w:r w:rsidR="0031364C">
        <w:rPr>
          <w:rFonts w:ascii="CIDFont+F4" w:hAnsi="CIDFont+F4" w:cs="CIDFont+F4"/>
          <w:color w:val="2E74B6"/>
          <w:sz w:val="30"/>
          <w:szCs w:val="30"/>
        </w:rPr>
        <w:t xml:space="preserve">Two </w:t>
      </w:r>
      <w:r>
        <w:rPr>
          <w:rFonts w:ascii="CIDFont+F4" w:hAnsi="CIDFont+F4" w:cs="CIDFont+F4"/>
          <w:color w:val="2E74B6"/>
          <w:sz w:val="30"/>
          <w:szCs w:val="30"/>
        </w:rPr>
        <w:t xml:space="preserve">Heat Recovery </w:t>
      </w:r>
      <w:r>
        <w:rPr>
          <w:rFonts w:ascii="CIDFont+F7" w:hAnsi="CIDFont+F7" w:cs="CIDFont+F7"/>
          <w:color w:val="2E74B6"/>
          <w:sz w:val="30"/>
          <w:szCs w:val="30"/>
        </w:rPr>
        <w:t>Steam Generator (HRSG) Packages (Includes</w:t>
      </w:r>
    </w:p>
    <w:p w14:paraId="64AE637B" w14:textId="4DF3471C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2E74B6"/>
          <w:sz w:val="30"/>
          <w:szCs w:val="30"/>
        </w:rPr>
      </w:pPr>
      <w:r>
        <w:rPr>
          <w:rFonts w:ascii="CIDFont+F7" w:hAnsi="CIDFont+F7" w:cs="CIDFont+F7"/>
          <w:color w:val="2E74B6"/>
          <w:sz w:val="30"/>
          <w:szCs w:val="30"/>
        </w:rPr>
        <w:t>HP/LP Steam Drums, and Ammonia Injection Racks)</w:t>
      </w:r>
    </w:p>
    <w:p w14:paraId="08FBC987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2E74B6"/>
          <w:sz w:val="30"/>
          <w:szCs w:val="30"/>
        </w:rPr>
      </w:pPr>
    </w:p>
    <w:p w14:paraId="112B5375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exhaust gasses from each GTG are directed into individual HRSG packages</w:t>
      </w:r>
    </w:p>
    <w:p w14:paraId="462D66F3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(U770A/B) where the useful thermal energy is used to generate HP Steam (45 barg &amp;</w:t>
      </w:r>
    </w:p>
    <w:p w14:paraId="3211DD40" w14:textId="6EC2420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 xml:space="preserve">400 </w:t>
      </w:r>
      <w:r>
        <w:rPr>
          <w:rFonts w:ascii="CIDFont+F1" w:hAnsi="CIDFont+F1" w:cs="CIDFont+F1"/>
          <w:color w:val="000000"/>
          <w:sz w:val="13"/>
          <w:szCs w:val="13"/>
        </w:rPr>
        <w:t>o</w:t>
      </w:r>
      <w:r w:rsidR="00DD037C">
        <w:rPr>
          <w:rFonts w:ascii="CIDFont+F1" w:hAnsi="CIDFont+F1" w:cs="CIDFont+F1"/>
          <w:color w:val="000000"/>
          <w:sz w:val="13"/>
          <w:szCs w:val="13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 xml:space="preserve">C) and LP steam (4.4 barg and 260 </w:t>
      </w:r>
      <w:r>
        <w:rPr>
          <w:rFonts w:ascii="CIDFont+F1" w:hAnsi="CIDFont+F1" w:cs="CIDFont+F1"/>
          <w:color w:val="000000"/>
          <w:sz w:val="13"/>
          <w:szCs w:val="13"/>
        </w:rPr>
        <w:t>o</w:t>
      </w:r>
      <w:r w:rsidR="00DD037C">
        <w:rPr>
          <w:rFonts w:ascii="CIDFont+F1" w:hAnsi="CIDFont+F1" w:cs="CIDFont+F1"/>
          <w:color w:val="000000"/>
          <w:sz w:val="13"/>
          <w:szCs w:val="13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C). Each HRSG comprises HP &amp; LP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 w:rsidR="00E55EEF">
        <w:rPr>
          <w:rFonts w:ascii="CIDFont+F1" w:hAnsi="CIDFont+F1" w:cs="CIDFont+F1"/>
          <w:color w:val="000000"/>
          <w:sz w:val="21"/>
          <w:szCs w:val="21"/>
        </w:rPr>
        <w:t>Economizers</w:t>
      </w:r>
      <w:r>
        <w:rPr>
          <w:rFonts w:ascii="CIDFont+F1" w:hAnsi="CIDFont+F1" w:cs="CIDFont+F1"/>
          <w:color w:val="000000"/>
          <w:sz w:val="21"/>
          <w:szCs w:val="21"/>
        </w:rPr>
        <w:t>, Boilers and Superheaters. Each HRSG also has a low temperature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 w:rsidR="00E55EEF">
        <w:rPr>
          <w:rFonts w:ascii="CIDFont+F1" w:hAnsi="CIDFont+F1" w:cs="CIDFont+F1"/>
          <w:color w:val="000000"/>
          <w:sz w:val="21"/>
          <w:szCs w:val="21"/>
        </w:rPr>
        <w:t>Economizer</w:t>
      </w:r>
      <w:r>
        <w:rPr>
          <w:rFonts w:ascii="CIDFont+F1" w:hAnsi="CIDFont+F1" w:cs="CIDFont+F1"/>
          <w:color w:val="000000"/>
          <w:sz w:val="21"/>
          <w:szCs w:val="21"/>
        </w:rPr>
        <w:t xml:space="preserve"> that preheats condensate prior to entering the deaerator system.</w:t>
      </w:r>
    </w:p>
    <w:p w14:paraId="44B41932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57F66DCA" w14:textId="4CAFDA43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HRSGs are equipped with selective catalytic reduction (SCR) units, where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aqueous ammonia is injected for NOx reduction. Flue gases exiting the HRSGs are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continually monitored by way of the continuous emissions monitoring system (CEMS).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The CEMS monitors compliance with environmental regulations.</w:t>
      </w:r>
    </w:p>
    <w:p w14:paraId="11552ACA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107F697C" w14:textId="2AF8ACED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HRSGs are supported by a deaerator system, boiler feed water pumps, two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blowdown drums, and a water analysis panel.</w:t>
      </w:r>
    </w:p>
    <w:p w14:paraId="02FE6B5B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HP steam produced is transferred to the U740 Steam Turbine Generator (STG).</w:t>
      </w:r>
    </w:p>
    <w:p w14:paraId="4A399EBA" w14:textId="130D61C3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LP steam is sent to several places, including the deaerator and a series of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desuperheaters for distribution. Any remaining LP steam is transferred to the STG. In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addition, a small amount of saturated LP steam (</w:t>
      </w:r>
      <w:r>
        <w:rPr>
          <w:rFonts w:ascii="CIDFont+F3" w:eastAsia="CIDFont+F3" w:hAnsi="CIDFont+F4" w:cs="CIDFont+F3" w:hint="eastAsia"/>
          <w:color w:val="000000"/>
          <w:sz w:val="21"/>
          <w:szCs w:val="21"/>
        </w:rPr>
        <w:t>≈</w:t>
      </w:r>
      <w:r>
        <w:rPr>
          <w:rFonts w:ascii="CIDFont+F1" w:hAnsi="CIDFont+F1" w:cs="CIDFont+F1"/>
          <w:color w:val="000000"/>
          <w:sz w:val="21"/>
          <w:szCs w:val="21"/>
        </w:rPr>
        <w:t>3.5 barg) is produced from the LP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steam drum, known as pegging steam, is sent to the deaerator.</w:t>
      </w:r>
    </w:p>
    <w:p w14:paraId="0C955392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4E580A47" w14:textId="24851C8D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 xml:space="preserve">5. </w:t>
      </w:r>
      <w:r w:rsidR="00E55EEF">
        <w:rPr>
          <w:rFonts w:ascii="CIDFont+F4" w:hAnsi="CIDFont+F4" w:cs="CIDFont+F4"/>
          <w:color w:val="2E74B6"/>
          <w:sz w:val="30"/>
          <w:szCs w:val="30"/>
        </w:rPr>
        <w:t>Auxiliary</w:t>
      </w:r>
      <w:r>
        <w:rPr>
          <w:rFonts w:ascii="CIDFont+F4" w:hAnsi="CIDFont+F4" w:cs="CIDFont+F4"/>
          <w:color w:val="2E74B6"/>
          <w:sz w:val="30"/>
          <w:szCs w:val="30"/>
        </w:rPr>
        <w:t xml:space="preserve"> Boiler Area</w:t>
      </w:r>
    </w:p>
    <w:p w14:paraId="3BD0A579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228F2CBF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Auxiliary Boiler, U790, is a Rentech shop assembled package type unit. It has a</w:t>
      </w:r>
    </w:p>
    <w:p w14:paraId="3F603D40" w14:textId="5379CD3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HP steam capacity of 72,560 kg/</w:t>
      </w:r>
      <w:r w:rsidR="00E55EEF">
        <w:rPr>
          <w:rFonts w:ascii="CIDFont+F1" w:hAnsi="CIDFont+F1" w:cs="CIDFont+F1"/>
          <w:color w:val="000000"/>
          <w:sz w:val="21"/>
          <w:szCs w:val="21"/>
        </w:rPr>
        <w:t>hr.</w:t>
      </w:r>
      <w:r>
        <w:rPr>
          <w:rFonts w:ascii="CIDFont+F1" w:hAnsi="CIDFont+F1" w:cs="CIDFont+F1"/>
          <w:color w:val="000000"/>
          <w:sz w:val="21"/>
          <w:szCs w:val="21"/>
        </w:rPr>
        <w:t xml:space="preserve"> (45 barg &amp; 400 </w:t>
      </w:r>
      <w:r>
        <w:rPr>
          <w:rFonts w:ascii="CIDFont+F1" w:hAnsi="CIDFont+F1" w:cs="CIDFont+F1"/>
          <w:color w:val="000000"/>
          <w:sz w:val="13"/>
          <w:szCs w:val="13"/>
        </w:rPr>
        <w:t>o</w:t>
      </w:r>
      <w:r w:rsidR="00DD037C">
        <w:rPr>
          <w:rFonts w:ascii="CIDFont+F1" w:hAnsi="CIDFont+F1" w:cs="CIDFont+F1"/>
          <w:color w:val="000000"/>
          <w:sz w:val="13"/>
          <w:szCs w:val="13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C). It is subsequently combined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with HP steam from the HRSGs before being transferred to the Steam Turbine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Generator.</w:t>
      </w:r>
    </w:p>
    <w:p w14:paraId="7A8ED9C8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31917001" w14:textId="56389403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auxiliary boiler</w:t>
      </w:r>
      <w:r>
        <w:rPr>
          <w:rFonts w:ascii="CIDFont+F2" w:hAnsi="CIDFont+F2" w:cs="CIDFont+F2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normally operates at turndown so it can</w:t>
      </w:r>
      <w:r>
        <w:rPr>
          <w:rFonts w:ascii="CIDFont+F2" w:hAnsi="CIDFont+F2" w:cs="CIDFont+F2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 xml:space="preserve">ramp up quickly when required. </w:t>
      </w:r>
    </w:p>
    <w:p w14:paraId="7C9F800C" w14:textId="7C1B26E4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 xml:space="preserve">The auxiliary boiler area is equipped with a Superheater, Boiler, </w:t>
      </w:r>
      <w:r w:rsidR="00E55EEF">
        <w:rPr>
          <w:rFonts w:ascii="CIDFont+F1" w:hAnsi="CIDFont+F1" w:cs="CIDFont+F1"/>
          <w:color w:val="000000"/>
          <w:sz w:val="21"/>
          <w:szCs w:val="21"/>
        </w:rPr>
        <w:t>Economizer</w:t>
      </w:r>
      <w:r>
        <w:rPr>
          <w:rFonts w:ascii="CIDFont+F1" w:hAnsi="CIDFont+F1" w:cs="CIDFont+F1"/>
          <w:color w:val="000000"/>
          <w:sz w:val="21"/>
          <w:szCs w:val="21"/>
        </w:rPr>
        <w:t>, forced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draft fan, stack, low-NOx burners, and a selective catalytic reduction (SCR) unit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required to reduce NOx emissions by way of aqueous ammonia injection. Flue gases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exiting the boiler are continually monitored to ensure environmental limits are being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 xml:space="preserve">met. </w:t>
      </w:r>
    </w:p>
    <w:p w14:paraId="25B1C2AE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1"/>
          <w:szCs w:val="21"/>
        </w:rPr>
      </w:pPr>
    </w:p>
    <w:p w14:paraId="0E003796" w14:textId="4CB823BA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6. Steam Turbine Package</w:t>
      </w:r>
    </w:p>
    <w:p w14:paraId="4E68F8C9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5186830E" w14:textId="54A0E72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 xml:space="preserve">The Siemens SST400 type Steam Turbine Package is a two-pressure, </w:t>
      </w:r>
      <w:r w:rsidR="0031364C">
        <w:rPr>
          <w:rFonts w:ascii="CIDFont+F1" w:hAnsi="CIDFont+F1" w:cs="CIDFont+F1"/>
          <w:color w:val="000000"/>
          <w:sz w:val="21"/>
          <w:szCs w:val="21"/>
        </w:rPr>
        <w:t>condensing type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generator designed to produce approximately 20MW of electricity. The Brush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generator receives high-pressure (HP) steam from the HRSGs and Auxiliary Boiler @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 xml:space="preserve">45 barg and 400 </w:t>
      </w:r>
      <w:r>
        <w:rPr>
          <w:rFonts w:ascii="CIDFont+F1" w:hAnsi="CIDFont+F1" w:cs="CIDFont+F1"/>
          <w:color w:val="000000"/>
          <w:sz w:val="13"/>
          <w:szCs w:val="13"/>
        </w:rPr>
        <w:t>o</w:t>
      </w:r>
      <w:r w:rsidR="00DD037C">
        <w:rPr>
          <w:rFonts w:ascii="CIDFont+F1" w:hAnsi="CIDFont+F1" w:cs="CIDFont+F1"/>
          <w:color w:val="000000"/>
          <w:sz w:val="13"/>
          <w:szCs w:val="13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C. The HP steam flow at design is 93,264 kg/hr. The IP steam is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inducted at 3.49 barg and 260°C. The IP steam design flow is 10,256 kg/hr</w:t>
      </w:r>
      <w:r w:rsidR="00DD037C">
        <w:rPr>
          <w:rFonts w:ascii="CIDFont+F1" w:hAnsi="CIDFont+F1" w:cs="CIDFont+F1"/>
          <w:color w:val="000000"/>
          <w:sz w:val="21"/>
          <w:szCs w:val="21"/>
        </w:rPr>
        <w:t>.</w:t>
      </w:r>
      <w:r>
        <w:rPr>
          <w:rFonts w:ascii="CIDFont+F1" w:hAnsi="CIDFont+F1" w:cs="CIDFont+F1"/>
          <w:color w:val="000000"/>
          <w:sz w:val="21"/>
          <w:szCs w:val="21"/>
        </w:rPr>
        <w:t xml:space="preserve"> (22,600lbs/hr</w:t>
      </w:r>
      <w:r w:rsidR="00DD037C">
        <w:rPr>
          <w:rFonts w:ascii="CIDFont+F1" w:hAnsi="CIDFont+F1" w:cs="CIDFont+F1"/>
          <w:color w:val="000000"/>
          <w:sz w:val="21"/>
          <w:szCs w:val="21"/>
        </w:rPr>
        <w:t>.</w:t>
      </w:r>
      <w:r>
        <w:rPr>
          <w:rFonts w:ascii="CIDFont+F1" w:hAnsi="CIDFont+F1" w:cs="CIDFont+F1"/>
          <w:color w:val="000000"/>
          <w:sz w:val="21"/>
          <w:szCs w:val="21"/>
        </w:rPr>
        <w:t>). At full load the turbine-generator gross output is 24,560 KW at the generator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terminals.</w:t>
      </w:r>
    </w:p>
    <w:p w14:paraId="47F5FB46" w14:textId="494F5F8A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normal operating case generates 20,580 KW at the generated terminals. It is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based on an HP steam flowrate of 74,286 kg/</w:t>
      </w:r>
      <w:r w:rsidR="00E55EEF">
        <w:rPr>
          <w:rFonts w:ascii="CIDFont+F1" w:hAnsi="CIDFont+F1" w:cs="CIDFont+F1"/>
          <w:color w:val="000000"/>
          <w:sz w:val="21"/>
          <w:szCs w:val="21"/>
        </w:rPr>
        <w:t>hr.</w:t>
      </w:r>
      <w:r>
        <w:rPr>
          <w:rFonts w:ascii="CIDFont+F1" w:hAnsi="CIDFont+F1" w:cs="CIDFont+F1"/>
          <w:color w:val="000000"/>
          <w:sz w:val="21"/>
          <w:szCs w:val="21"/>
        </w:rPr>
        <w:t xml:space="preserve"> and an IP steam flowrate of 10, 256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kg/hr.</w:t>
      </w:r>
    </w:p>
    <w:p w14:paraId="4A0073F6" w14:textId="4DE93470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Steam Turbine is rated for a minimum turndown of 2.2 MW</w:t>
      </w:r>
    </w:p>
    <w:p w14:paraId="068D83E8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17F9B781" w14:textId="00F6CEE6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70C1"/>
          <w:sz w:val="26"/>
          <w:szCs w:val="26"/>
        </w:rPr>
      </w:pPr>
      <w:r>
        <w:rPr>
          <w:rFonts w:ascii="CIDFont+F1" w:hAnsi="CIDFont+F1" w:cs="CIDFont+F1"/>
          <w:color w:val="0070C1"/>
          <w:sz w:val="26"/>
          <w:szCs w:val="26"/>
        </w:rPr>
        <w:lastRenderedPageBreak/>
        <w:t>7.</w:t>
      </w:r>
      <w:r w:rsidR="00DD037C">
        <w:rPr>
          <w:rFonts w:ascii="CIDFont+F1" w:hAnsi="CIDFont+F1" w:cs="CIDFont+F1"/>
          <w:color w:val="0070C1"/>
          <w:sz w:val="26"/>
          <w:szCs w:val="26"/>
        </w:rPr>
        <w:t xml:space="preserve"> </w:t>
      </w:r>
      <w:r>
        <w:rPr>
          <w:rFonts w:ascii="CIDFont+F1" w:hAnsi="CIDFont+F1" w:cs="CIDFont+F1"/>
          <w:color w:val="0070C1"/>
          <w:sz w:val="26"/>
          <w:szCs w:val="26"/>
        </w:rPr>
        <w:t>Steam Turbine Surface Condenser</w:t>
      </w:r>
    </w:p>
    <w:p w14:paraId="176C00E2" w14:textId="77777777" w:rsidR="00DD037C" w:rsidRDefault="00DD037C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70C1"/>
          <w:sz w:val="26"/>
          <w:szCs w:val="26"/>
        </w:rPr>
      </w:pPr>
    </w:p>
    <w:p w14:paraId="122B3E5F" w14:textId="69F38110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Tema Steam Turbine Surface Condenser condenses exhaust steam exiting the</w:t>
      </w:r>
      <w:r w:rsidR="00DD037C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steam turbine generator. It also condenses steam from the generator emergency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 xml:space="preserve">bypass. This is a non-contact, shell-and-tube heat exchanger with steam in the </w:t>
      </w:r>
      <w:r w:rsidR="00E55EEF">
        <w:rPr>
          <w:rFonts w:ascii="CIDFont+F1" w:hAnsi="CIDFont+F1" w:cs="CIDFont+F1"/>
          <w:color w:val="000000"/>
          <w:sz w:val="21"/>
          <w:szCs w:val="21"/>
        </w:rPr>
        <w:t>shell side</w:t>
      </w:r>
      <w:r>
        <w:rPr>
          <w:rFonts w:ascii="CIDFont+F1" w:hAnsi="CIDFont+F1" w:cs="CIDFont+F1"/>
          <w:color w:val="000000"/>
          <w:sz w:val="21"/>
          <w:szCs w:val="21"/>
        </w:rPr>
        <w:t xml:space="preserve"> and cooling water in the tube side. Condensate collects in the bottom of the shell.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Non-condensable gases collect in the top and are vented to atmosphere. Condensate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in the shell bottom is pumped by the condensate pumps to either the pre-heat in the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HRSGs to the deaerator, or a bypass of pre-heat. Demineralized make-up water can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be added to the BFW system at the condenser.</w:t>
      </w:r>
    </w:p>
    <w:p w14:paraId="52BB57C1" w14:textId="057424C0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 xml:space="preserve">The condenser operates at vacuum </w:t>
      </w:r>
      <w:r w:rsidR="00D05B90">
        <w:rPr>
          <w:rFonts w:ascii="CIDFont+F1" w:hAnsi="CIDFont+F1" w:cs="CIDFont+F1"/>
          <w:color w:val="000000"/>
          <w:sz w:val="21"/>
          <w:szCs w:val="21"/>
        </w:rPr>
        <w:t>utilizing</w:t>
      </w:r>
      <w:r>
        <w:rPr>
          <w:rFonts w:ascii="CIDFont+F1" w:hAnsi="CIDFont+F1" w:cs="CIDFont+F1"/>
          <w:color w:val="000000"/>
          <w:sz w:val="21"/>
          <w:szCs w:val="21"/>
        </w:rPr>
        <w:t xml:space="preserve"> two Liquid Ring Vacuum Pump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Packages. The condenser back pressure is approximately 2.0 inches Hg vac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(absolute).</w:t>
      </w:r>
    </w:p>
    <w:p w14:paraId="3F67C1BD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4B758ABC" w14:textId="77D8366D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8. Electrical</w:t>
      </w:r>
    </w:p>
    <w:p w14:paraId="53B29910" w14:textId="77777777" w:rsidR="00FF22A6" w:rsidRDefault="00FF22A6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44B7CCAA" w14:textId="1770DD81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Each system will be electrically isolated using the MEFW Lock Out Tag Out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procedure at the source of supply, proven dead at the field terminals and all cabling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removed from said terminals.</w:t>
      </w:r>
    </w:p>
    <w:p w14:paraId="5A336D93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Control cabinets and junction boxes attached to each system will remain in place.</w:t>
      </w:r>
    </w:p>
    <w:p w14:paraId="01FF75C0" w14:textId="3CACE9E9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Wiring internal to each system will remain in place.</w:t>
      </w:r>
    </w:p>
    <w:p w14:paraId="5096624A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166C7C1E" w14:textId="6CEA35BA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9. Instrumentation &amp; Control</w:t>
      </w:r>
    </w:p>
    <w:p w14:paraId="5FEE56A8" w14:textId="77777777" w:rsidR="00FF22A6" w:rsidRDefault="00FF22A6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76F57D47" w14:textId="6529B473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Directly cabled instruments on each system will be isolated and disconnected at the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field terminals.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Instruments cabled via internally mounted junction boxes will remain in place with the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multi-core cables to the junction boxes isolated at source and removed.</w:t>
      </w:r>
    </w:p>
    <w:p w14:paraId="00C08D83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5D4555E6" w14:textId="0215531E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10. Safety Considerations</w:t>
      </w:r>
    </w:p>
    <w:p w14:paraId="0BFC7BDE" w14:textId="77777777" w:rsidR="00FF22A6" w:rsidRDefault="00FF22A6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584F352E" w14:textId="3B04DF00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 xml:space="preserve">All items will be de-inventoried and electrically </w:t>
      </w:r>
      <w:r w:rsidR="00D05B90">
        <w:rPr>
          <w:rFonts w:ascii="CIDFont+F1" w:hAnsi="CIDFont+F1" w:cs="CIDFont+F1"/>
          <w:color w:val="000000"/>
          <w:sz w:val="21"/>
          <w:szCs w:val="21"/>
        </w:rPr>
        <w:t>disconnected.</w:t>
      </w:r>
    </w:p>
    <w:p w14:paraId="3CE75DF8" w14:textId="3DAB2AF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All safety issues including, but not limited to, permits to work, equipment, scaffolding,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cra</w:t>
      </w:r>
      <w:bookmarkStart w:id="0" w:name="_GoBack"/>
      <w:bookmarkEnd w:id="0"/>
      <w:r>
        <w:rPr>
          <w:rFonts w:ascii="CIDFont+F1" w:hAnsi="CIDFont+F1" w:cs="CIDFont+F1"/>
          <w:color w:val="000000"/>
          <w:sz w:val="21"/>
          <w:szCs w:val="21"/>
        </w:rPr>
        <w:t xml:space="preserve">nage, road vehicle safety, </w:t>
      </w:r>
      <w:r w:rsidR="00D05B90">
        <w:rPr>
          <w:rFonts w:ascii="CIDFont+F1" w:hAnsi="CIDFont+F1" w:cs="CIDFont+F1"/>
          <w:color w:val="000000"/>
          <w:sz w:val="21"/>
          <w:szCs w:val="21"/>
        </w:rPr>
        <w:t>etc.</w:t>
      </w:r>
      <w:r>
        <w:rPr>
          <w:rFonts w:ascii="CIDFont+F1" w:hAnsi="CIDFont+F1" w:cs="CIDFont+F1"/>
          <w:color w:val="000000"/>
          <w:sz w:val="21"/>
          <w:szCs w:val="21"/>
        </w:rPr>
        <w:t xml:space="preserve"> are the </w:t>
      </w:r>
      <w:r w:rsidR="00D05B90">
        <w:rPr>
          <w:rFonts w:ascii="CIDFont+F1" w:hAnsi="CIDFont+F1" w:cs="CIDFont+F1"/>
          <w:color w:val="000000"/>
          <w:sz w:val="21"/>
          <w:szCs w:val="21"/>
        </w:rPr>
        <w:t>purchaser’s</w:t>
      </w:r>
      <w:r>
        <w:rPr>
          <w:rFonts w:ascii="CIDFont+F1" w:hAnsi="CIDFont+F1" w:cs="CIDFont+F1"/>
          <w:color w:val="000000"/>
          <w:sz w:val="21"/>
          <w:szCs w:val="21"/>
        </w:rPr>
        <w:t xml:space="preserve"> responsibility.</w:t>
      </w:r>
    </w:p>
    <w:p w14:paraId="6DCB36BC" w14:textId="17FE47A2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Air Products operate to the highest safety standards and the purchaser must follow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all relevant local/international safety standards and good practices.</w:t>
      </w:r>
    </w:p>
    <w:p w14:paraId="35DEE666" w14:textId="77777777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</w:p>
    <w:p w14:paraId="27FFB8F8" w14:textId="504AAA63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  <w:r>
        <w:rPr>
          <w:rFonts w:ascii="CIDFont+F4" w:hAnsi="CIDFont+F4" w:cs="CIDFont+F4"/>
          <w:color w:val="2E74B6"/>
          <w:sz w:val="30"/>
          <w:szCs w:val="30"/>
        </w:rPr>
        <w:t>11. Cranage, Packing and Transport</w:t>
      </w:r>
    </w:p>
    <w:p w14:paraId="110ED55D" w14:textId="77777777" w:rsidR="00FF22A6" w:rsidRDefault="00FF22A6" w:rsidP="008E69C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2E74B6"/>
          <w:sz w:val="30"/>
          <w:szCs w:val="30"/>
        </w:rPr>
      </w:pPr>
    </w:p>
    <w:p w14:paraId="1867C083" w14:textId="6629D118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 xml:space="preserve">Cranage and packing for transport are all within the </w:t>
      </w:r>
      <w:r w:rsidR="00D05B90">
        <w:rPr>
          <w:rFonts w:ascii="CIDFont+F1" w:hAnsi="CIDFont+F1" w:cs="CIDFont+F1"/>
          <w:color w:val="000000"/>
          <w:sz w:val="21"/>
          <w:szCs w:val="21"/>
        </w:rPr>
        <w:t>purchaser’s</w:t>
      </w:r>
      <w:r>
        <w:rPr>
          <w:rFonts w:ascii="CIDFont+F1" w:hAnsi="CIDFont+F1" w:cs="CIDFont+F1"/>
          <w:color w:val="000000"/>
          <w:sz w:val="21"/>
          <w:szCs w:val="21"/>
        </w:rPr>
        <w:t xml:space="preserve"> scope.</w:t>
      </w:r>
    </w:p>
    <w:p w14:paraId="3A081CC4" w14:textId="3DBC48BE" w:rsidR="008E69CE" w:rsidRDefault="008E69CE" w:rsidP="008E69C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The weights and dimensions can be provided upon request. All weights must be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>confirmed with Solar and other relevant parties.</w:t>
      </w:r>
      <w:r w:rsidR="00FF22A6">
        <w:rPr>
          <w:rFonts w:ascii="CIDFont+F1" w:hAnsi="CIDFont+F1" w:cs="CIDFont+F1"/>
          <w:color w:val="000000"/>
          <w:sz w:val="21"/>
          <w:szCs w:val="21"/>
        </w:rPr>
        <w:t xml:space="preserve"> </w:t>
      </w:r>
      <w:r>
        <w:rPr>
          <w:rFonts w:ascii="CIDFont+F1" w:hAnsi="CIDFont+F1" w:cs="CIDFont+F1"/>
          <w:color w:val="000000"/>
          <w:sz w:val="21"/>
          <w:szCs w:val="21"/>
        </w:rPr>
        <w:t xml:space="preserve">A number </w:t>
      </w:r>
      <w:r w:rsidR="00D05B90">
        <w:rPr>
          <w:rFonts w:ascii="CIDFont+F1" w:hAnsi="CIDFont+F1" w:cs="CIDFont+F1"/>
          <w:color w:val="000000"/>
          <w:sz w:val="21"/>
          <w:szCs w:val="21"/>
        </w:rPr>
        <w:t>flatbed</w:t>
      </w:r>
      <w:r>
        <w:rPr>
          <w:rFonts w:ascii="CIDFont+F1" w:hAnsi="CIDFont+F1" w:cs="CIDFont+F1"/>
          <w:color w:val="000000"/>
          <w:sz w:val="21"/>
          <w:szCs w:val="21"/>
        </w:rPr>
        <w:t xml:space="preserve"> trailers will be required for transport. </w:t>
      </w:r>
    </w:p>
    <w:sectPr w:rsidR="008E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BCFF9" w14:textId="77777777" w:rsidR="00BC1D2D" w:rsidRDefault="00BC1D2D" w:rsidP="007B53ED">
      <w:pPr>
        <w:spacing w:after="0" w:line="240" w:lineRule="auto"/>
      </w:pPr>
      <w:r>
        <w:separator/>
      </w:r>
    </w:p>
  </w:endnote>
  <w:endnote w:type="continuationSeparator" w:id="0">
    <w:p w14:paraId="13F008A1" w14:textId="77777777" w:rsidR="00BC1D2D" w:rsidRDefault="00BC1D2D" w:rsidP="007B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44764" w14:textId="77777777" w:rsidR="007B53ED" w:rsidRDefault="007B5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3DE2F" w14:textId="77777777" w:rsidR="007B53ED" w:rsidRDefault="007B53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D07AD" w14:textId="77777777" w:rsidR="007B53ED" w:rsidRDefault="007B5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E128D" w14:textId="77777777" w:rsidR="00BC1D2D" w:rsidRDefault="00BC1D2D" w:rsidP="007B53ED">
      <w:pPr>
        <w:spacing w:after="0" w:line="240" w:lineRule="auto"/>
      </w:pPr>
      <w:r>
        <w:separator/>
      </w:r>
    </w:p>
  </w:footnote>
  <w:footnote w:type="continuationSeparator" w:id="0">
    <w:p w14:paraId="37DE3475" w14:textId="77777777" w:rsidR="00BC1D2D" w:rsidRDefault="00BC1D2D" w:rsidP="007B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9996" w14:textId="77777777" w:rsidR="007B53ED" w:rsidRDefault="007B5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C51AB" w14:textId="77777777" w:rsidR="007B53ED" w:rsidRDefault="007B53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9D3C" w14:textId="77777777" w:rsidR="007B53ED" w:rsidRDefault="007B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E"/>
    <w:rsid w:val="00061344"/>
    <w:rsid w:val="00190176"/>
    <w:rsid w:val="0031364C"/>
    <w:rsid w:val="00321B33"/>
    <w:rsid w:val="00361366"/>
    <w:rsid w:val="007B53ED"/>
    <w:rsid w:val="00856711"/>
    <w:rsid w:val="008E69CE"/>
    <w:rsid w:val="009318BB"/>
    <w:rsid w:val="00BC1D2D"/>
    <w:rsid w:val="00C873AA"/>
    <w:rsid w:val="00D05B90"/>
    <w:rsid w:val="00DD037C"/>
    <w:rsid w:val="00E55EEF"/>
    <w:rsid w:val="00F03EFA"/>
    <w:rsid w:val="00F67B78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3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ED"/>
  </w:style>
  <w:style w:type="paragraph" w:styleId="Footer">
    <w:name w:val="footer"/>
    <w:basedOn w:val="Normal"/>
    <w:link w:val="FooterChar"/>
    <w:uiPriority w:val="99"/>
    <w:unhideWhenUsed/>
    <w:rsid w:val="007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2020-01-29T21:26:00Z</dcterms:created>
  <dcterms:modified xsi:type="dcterms:W3CDTF">2020-01-29T21:26:00Z</dcterms:modified>
</cp:coreProperties>
</file>